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ACBBE" w14:textId="62A296A7" w:rsidR="00EE7BFB" w:rsidRPr="00967ECE" w:rsidRDefault="00DF0F0C">
      <w:pPr>
        <w:rPr>
          <w:rFonts w:cstheme="minorHAnsi"/>
          <w:sz w:val="28"/>
          <w:szCs w:val="28"/>
        </w:rPr>
      </w:pPr>
      <w:r w:rsidRPr="00967ECE">
        <w:rPr>
          <w:rFonts w:cstheme="minorHAnsi"/>
          <w:sz w:val="28"/>
          <w:szCs w:val="28"/>
        </w:rPr>
        <w:t>Dear Keystone Families,</w:t>
      </w:r>
    </w:p>
    <w:p w14:paraId="127A66E7" w14:textId="7CCA6469" w:rsidR="00DF0F0C" w:rsidRPr="00967ECE" w:rsidRDefault="00DF0F0C">
      <w:pPr>
        <w:rPr>
          <w:rFonts w:cstheme="minorHAnsi"/>
          <w:sz w:val="28"/>
          <w:szCs w:val="28"/>
        </w:rPr>
      </w:pPr>
    </w:p>
    <w:p w14:paraId="5C63BEDD" w14:textId="3384D5E3" w:rsidR="00181A2C" w:rsidRDefault="00DF0F0C" w:rsidP="00FA7211">
      <w:pPr>
        <w:pStyle w:val="NormalWeb"/>
        <w:spacing w:before="0" w:beforeAutospacing="0" w:after="188" w:afterAutospacing="0"/>
        <w:rPr>
          <w:rFonts w:asciiTheme="minorHAnsi" w:hAnsiTheme="minorHAnsi" w:cstheme="minorHAnsi"/>
          <w:color w:val="000000" w:themeColor="text1"/>
          <w:sz w:val="28"/>
          <w:szCs w:val="28"/>
        </w:rPr>
      </w:pPr>
      <w:r w:rsidRPr="00967ECE">
        <w:rPr>
          <w:rFonts w:asciiTheme="minorHAnsi" w:hAnsiTheme="minorHAnsi" w:cstheme="minorHAnsi"/>
          <w:sz w:val="28"/>
          <w:szCs w:val="28"/>
        </w:rPr>
        <w:t xml:space="preserve">As Thanksgiving approaches, we would like to extend our </w:t>
      </w:r>
      <w:r w:rsidR="001B2509">
        <w:rPr>
          <w:rFonts w:asciiTheme="minorHAnsi" w:hAnsiTheme="minorHAnsi" w:cstheme="minorHAnsi"/>
          <w:sz w:val="28"/>
          <w:szCs w:val="28"/>
        </w:rPr>
        <w:t xml:space="preserve">thanks and gratitude to our families, students, and staff. </w:t>
      </w:r>
      <w:r w:rsidRPr="00967ECE">
        <w:rPr>
          <w:rFonts w:asciiTheme="minorHAnsi" w:hAnsiTheme="minorHAnsi" w:cstheme="minorHAnsi"/>
          <w:color w:val="000000" w:themeColor="text1"/>
          <w:sz w:val="28"/>
          <w:szCs w:val="28"/>
        </w:rPr>
        <w:t>During this time of challenge, we appreciate your open communication and ability to share your feelings with us.</w:t>
      </w:r>
      <w:r w:rsidR="00D10CF2">
        <w:rPr>
          <w:rFonts w:asciiTheme="minorHAnsi" w:hAnsiTheme="minorHAnsi" w:cstheme="minorHAnsi"/>
          <w:color w:val="000000" w:themeColor="text1"/>
          <w:sz w:val="28"/>
          <w:szCs w:val="28"/>
        </w:rPr>
        <w:t xml:space="preserve"> </w:t>
      </w:r>
      <w:r w:rsidR="001B2509">
        <w:rPr>
          <w:rFonts w:asciiTheme="minorHAnsi" w:hAnsiTheme="minorHAnsi" w:cstheme="minorHAnsi"/>
          <w:color w:val="000000" w:themeColor="text1"/>
          <w:sz w:val="28"/>
          <w:szCs w:val="28"/>
        </w:rPr>
        <w:t xml:space="preserve">We thank each of you for your support of </w:t>
      </w:r>
      <w:r w:rsidR="004503EA">
        <w:rPr>
          <w:rFonts w:asciiTheme="minorHAnsi" w:hAnsiTheme="minorHAnsi" w:cstheme="minorHAnsi"/>
          <w:color w:val="000000" w:themeColor="text1"/>
          <w:sz w:val="28"/>
          <w:szCs w:val="28"/>
        </w:rPr>
        <w:t>the</w:t>
      </w:r>
      <w:r w:rsidR="001B2509">
        <w:rPr>
          <w:rFonts w:asciiTheme="minorHAnsi" w:hAnsiTheme="minorHAnsi" w:cstheme="minorHAnsi"/>
          <w:color w:val="000000" w:themeColor="text1"/>
          <w:sz w:val="28"/>
          <w:szCs w:val="28"/>
        </w:rPr>
        <w:t xml:space="preserve"> mitigation plan and </w:t>
      </w:r>
      <w:r w:rsidR="004503EA">
        <w:rPr>
          <w:rFonts w:asciiTheme="minorHAnsi" w:hAnsiTheme="minorHAnsi" w:cstheme="minorHAnsi"/>
          <w:color w:val="000000" w:themeColor="text1"/>
          <w:sz w:val="28"/>
          <w:szCs w:val="28"/>
        </w:rPr>
        <w:t xml:space="preserve">our </w:t>
      </w:r>
      <w:r w:rsidR="001B2509">
        <w:rPr>
          <w:rFonts w:asciiTheme="minorHAnsi" w:hAnsiTheme="minorHAnsi" w:cstheme="minorHAnsi"/>
          <w:color w:val="000000" w:themeColor="text1"/>
          <w:sz w:val="28"/>
          <w:szCs w:val="28"/>
        </w:rPr>
        <w:t xml:space="preserve">efforts to keep </w:t>
      </w:r>
      <w:r w:rsidR="004503EA">
        <w:rPr>
          <w:rFonts w:asciiTheme="minorHAnsi" w:hAnsiTheme="minorHAnsi" w:cstheme="minorHAnsi"/>
          <w:color w:val="000000" w:themeColor="text1"/>
          <w:sz w:val="28"/>
          <w:szCs w:val="28"/>
        </w:rPr>
        <w:t>the</w:t>
      </w:r>
      <w:r w:rsidR="001B2509">
        <w:rPr>
          <w:rFonts w:asciiTheme="minorHAnsi" w:hAnsiTheme="minorHAnsi" w:cstheme="minorHAnsi"/>
          <w:color w:val="000000" w:themeColor="text1"/>
          <w:sz w:val="28"/>
          <w:szCs w:val="28"/>
        </w:rPr>
        <w:t xml:space="preserve"> students on campus. </w:t>
      </w:r>
      <w:r w:rsidR="00FA7211" w:rsidRPr="00967ECE">
        <w:rPr>
          <w:rFonts w:asciiTheme="minorHAnsi" w:hAnsiTheme="minorHAnsi" w:cstheme="minorHAnsi"/>
          <w:color w:val="000000" w:themeColor="text1"/>
          <w:sz w:val="28"/>
          <w:szCs w:val="28"/>
        </w:rPr>
        <w:t xml:space="preserve"> </w:t>
      </w:r>
    </w:p>
    <w:p w14:paraId="40809CE3" w14:textId="2371C62C" w:rsidR="00181A2C" w:rsidRDefault="00FA7211" w:rsidP="00FA7211">
      <w:pPr>
        <w:pStyle w:val="NormalWeb"/>
        <w:spacing w:before="0" w:beforeAutospacing="0" w:after="188" w:afterAutospacing="0"/>
        <w:rPr>
          <w:rFonts w:asciiTheme="minorHAnsi" w:hAnsiTheme="minorHAnsi" w:cstheme="minorHAnsi"/>
          <w:color w:val="000000" w:themeColor="text1"/>
          <w:sz w:val="28"/>
          <w:szCs w:val="28"/>
        </w:rPr>
      </w:pPr>
      <w:r w:rsidRPr="00967ECE">
        <w:rPr>
          <w:rFonts w:asciiTheme="minorHAnsi" w:hAnsiTheme="minorHAnsi" w:cstheme="minorHAnsi"/>
          <w:color w:val="000000" w:themeColor="text1"/>
          <w:sz w:val="28"/>
          <w:szCs w:val="28"/>
        </w:rPr>
        <w:t xml:space="preserve">The Keystone Board of Directors </w:t>
      </w:r>
      <w:r w:rsidR="002E1869">
        <w:rPr>
          <w:rFonts w:asciiTheme="minorHAnsi" w:hAnsiTheme="minorHAnsi" w:cstheme="minorHAnsi"/>
          <w:color w:val="000000" w:themeColor="text1"/>
          <w:sz w:val="28"/>
          <w:szCs w:val="28"/>
        </w:rPr>
        <w:t xml:space="preserve">and Administration </w:t>
      </w:r>
      <w:r w:rsidRPr="00967ECE">
        <w:rPr>
          <w:rFonts w:asciiTheme="minorHAnsi" w:hAnsiTheme="minorHAnsi" w:cstheme="minorHAnsi"/>
          <w:color w:val="000000" w:themeColor="text1"/>
          <w:sz w:val="28"/>
          <w:szCs w:val="28"/>
        </w:rPr>
        <w:t>met on November 19</w:t>
      </w:r>
      <w:r w:rsidRPr="00967ECE">
        <w:rPr>
          <w:rFonts w:asciiTheme="minorHAnsi" w:hAnsiTheme="minorHAnsi" w:cstheme="minorHAnsi"/>
          <w:color w:val="000000" w:themeColor="text1"/>
          <w:sz w:val="28"/>
          <w:szCs w:val="28"/>
          <w:vertAlign w:val="superscript"/>
        </w:rPr>
        <w:t>th</w:t>
      </w:r>
      <w:r w:rsidRPr="00967ECE">
        <w:rPr>
          <w:rFonts w:asciiTheme="minorHAnsi" w:hAnsiTheme="minorHAnsi" w:cstheme="minorHAnsi"/>
          <w:color w:val="000000" w:themeColor="text1"/>
          <w:sz w:val="28"/>
          <w:szCs w:val="28"/>
        </w:rPr>
        <w:t xml:space="preserve"> to review and discuss the</w:t>
      </w:r>
      <w:r w:rsidR="00A8111F">
        <w:rPr>
          <w:rFonts w:asciiTheme="minorHAnsi" w:hAnsiTheme="minorHAnsi" w:cstheme="minorHAnsi"/>
          <w:color w:val="000000" w:themeColor="text1"/>
          <w:sz w:val="28"/>
          <w:szCs w:val="28"/>
        </w:rPr>
        <w:t xml:space="preserve"> COVID-19</w:t>
      </w:r>
      <w:r w:rsidRPr="00967ECE">
        <w:rPr>
          <w:rFonts w:asciiTheme="minorHAnsi" w:hAnsiTheme="minorHAnsi" w:cstheme="minorHAnsi"/>
          <w:color w:val="000000" w:themeColor="text1"/>
          <w:sz w:val="28"/>
          <w:szCs w:val="28"/>
        </w:rPr>
        <w:t xml:space="preserve"> benchmarks</w:t>
      </w:r>
      <w:r w:rsidR="00A8111F">
        <w:rPr>
          <w:rFonts w:asciiTheme="minorHAnsi" w:hAnsiTheme="minorHAnsi" w:cstheme="minorHAnsi"/>
          <w:color w:val="000000" w:themeColor="text1"/>
          <w:sz w:val="28"/>
          <w:szCs w:val="28"/>
        </w:rPr>
        <w:t xml:space="preserve"> and data</w:t>
      </w:r>
      <w:r w:rsidRPr="00967ECE">
        <w:rPr>
          <w:rFonts w:asciiTheme="minorHAnsi" w:hAnsiTheme="minorHAnsi" w:cstheme="minorHAnsi"/>
          <w:color w:val="000000" w:themeColor="text1"/>
          <w:sz w:val="28"/>
          <w:szCs w:val="28"/>
        </w:rPr>
        <w:t xml:space="preserve"> provided by the Arizona Department of Health Services (A</w:t>
      </w:r>
      <w:r w:rsidR="00967ECE">
        <w:rPr>
          <w:rFonts w:asciiTheme="minorHAnsi" w:hAnsiTheme="minorHAnsi" w:cstheme="minorHAnsi"/>
          <w:color w:val="000000" w:themeColor="text1"/>
          <w:sz w:val="28"/>
          <w:szCs w:val="28"/>
        </w:rPr>
        <w:t>Z</w:t>
      </w:r>
      <w:r w:rsidRPr="00967ECE">
        <w:rPr>
          <w:rFonts w:asciiTheme="minorHAnsi" w:hAnsiTheme="minorHAnsi" w:cstheme="minorHAnsi"/>
          <w:color w:val="000000" w:themeColor="text1"/>
          <w:sz w:val="28"/>
          <w:szCs w:val="28"/>
        </w:rPr>
        <w:t xml:space="preserve">DHS).  </w:t>
      </w:r>
    </w:p>
    <w:p w14:paraId="0F95A80D" w14:textId="0EE50812" w:rsidR="00825B9E" w:rsidRPr="00A8111F" w:rsidRDefault="00FA7211" w:rsidP="00181A2C">
      <w:pPr>
        <w:pStyle w:val="NormalWeb"/>
        <w:numPr>
          <w:ilvl w:val="0"/>
          <w:numId w:val="2"/>
        </w:numPr>
        <w:spacing w:before="0" w:beforeAutospacing="0" w:after="188" w:afterAutospacing="0"/>
        <w:rPr>
          <w:rFonts w:asciiTheme="minorHAnsi" w:hAnsiTheme="minorHAnsi" w:cstheme="minorHAnsi"/>
          <w:b/>
          <w:bCs/>
          <w:color w:val="000000" w:themeColor="text1"/>
          <w:sz w:val="28"/>
          <w:szCs w:val="28"/>
        </w:rPr>
      </w:pPr>
      <w:r w:rsidRPr="00A8111F">
        <w:rPr>
          <w:rFonts w:asciiTheme="minorHAnsi" w:hAnsiTheme="minorHAnsi" w:cstheme="minorHAnsi"/>
          <w:b/>
          <w:bCs/>
          <w:color w:val="000000" w:themeColor="text1"/>
          <w:sz w:val="28"/>
          <w:szCs w:val="28"/>
        </w:rPr>
        <w:t>Based on these guidelines</w:t>
      </w:r>
      <w:r w:rsidR="004503EA">
        <w:rPr>
          <w:rFonts w:asciiTheme="minorHAnsi" w:hAnsiTheme="minorHAnsi" w:cstheme="minorHAnsi"/>
          <w:b/>
          <w:bCs/>
          <w:color w:val="000000" w:themeColor="text1"/>
          <w:sz w:val="28"/>
          <w:szCs w:val="28"/>
        </w:rPr>
        <w:t>,</w:t>
      </w:r>
      <w:r w:rsidRPr="00A8111F">
        <w:rPr>
          <w:rFonts w:asciiTheme="minorHAnsi" w:hAnsiTheme="minorHAnsi" w:cstheme="minorHAnsi"/>
          <w:b/>
          <w:bCs/>
          <w:color w:val="000000" w:themeColor="text1"/>
          <w:sz w:val="28"/>
          <w:szCs w:val="28"/>
        </w:rPr>
        <w:t xml:space="preserve"> Maricopa County’s current metrics, </w:t>
      </w:r>
      <w:r w:rsidR="004503EA">
        <w:rPr>
          <w:rFonts w:asciiTheme="minorHAnsi" w:hAnsiTheme="minorHAnsi" w:cstheme="minorHAnsi"/>
          <w:b/>
          <w:bCs/>
          <w:color w:val="000000" w:themeColor="text1"/>
          <w:sz w:val="28"/>
          <w:szCs w:val="28"/>
        </w:rPr>
        <w:t xml:space="preserve">and guidance from Maricopa County Department of Public Health. </w:t>
      </w:r>
      <w:r w:rsidRPr="00A8111F">
        <w:rPr>
          <w:rFonts w:asciiTheme="minorHAnsi" w:hAnsiTheme="minorHAnsi" w:cstheme="minorHAnsi"/>
          <w:b/>
          <w:bCs/>
          <w:color w:val="000000" w:themeColor="text1"/>
          <w:sz w:val="28"/>
          <w:szCs w:val="28"/>
        </w:rPr>
        <w:t>Keystone’s elementary and adolescent programs will</w:t>
      </w:r>
      <w:r w:rsidR="00967ECE" w:rsidRPr="00A8111F">
        <w:rPr>
          <w:rFonts w:asciiTheme="minorHAnsi" w:hAnsiTheme="minorHAnsi" w:cstheme="minorHAnsi"/>
          <w:b/>
          <w:bCs/>
          <w:color w:val="000000" w:themeColor="text1"/>
          <w:sz w:val="28"/>
          <w:szCs w:val="28"/>
        </w:rPr>
        <w:t xml:space="preserve"> return to Distance Learning beginning on Monday, November 30</w:t>
      </w:r>
      <w:r w:rsidR="00967ECE" w:rsidRPr="00A8111F">
        <w:rPr>
          <w:rFonts w:asciiTheme="minorHAnsi" w:hAnsiTheme="minorHAnsi" w:cstheme="minorHAnsi"/>
          <w:b/>
          <w:bCs/>
          <w:color w:val="000000" w:themeColor="text1"/>
          <w:sz w:val="28"/>
          <w:szCs w:val="28"/>
          <w:vertAlign w:val="superscript"/>
        </w:rPr>
        <w:t>th</w:t>
      </w:r>
      <w:r w:rsidR="00967ECE" w:rsidRPr="00A8111F">
        <w:rPr>
          <w:rFonts w:asciiTheme="minorHAnsi" w:hAnsiTheme="minorHAnsi" w:cstheme="minorHAnsi"/>
          <w:b/>
          <w:bCs/>
          <w:color w:val="000000" w:themeColor="text1"/>
          <w:sz w:val="28"/>
          <w:szCs w:val="28"/>
        </w:rPr>
        <w:t>.</w:t>
      </w:r>
    </w:p>
    <w:p w14:paraId="254281C4" w14:textId="0A0E3066" w:rsidR="00967ECE" w:rsidRDefault="00967ECE" w:rsidP="00181A2C">
      <w:pPr>
        <w:pStyle w:val="NormalWeb"/>
        <w:numPr>
          <w:ilvl w:val="0"/>
          <w:numId w:val="2"/>
        </w:numPr>
        <w:spacing w:before="0" w:beforeAutospacing="0" w:after="188" w:afterAutospacing="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Distance Learning will continue until the AZDHS benchmarks return to recommended levels for a safe return </w:t>
      </w:r>
      <w:r w:rsidR="00181A2C">
        <w:rPr>
          <w:rFonts w:asciiTheme="minorHAnsi" w:hAnsiTheme="minorHAnsi" w:cstheme="minorHAnsi"/>
          <w:color w:val="000000" w:themeColor="text1"/>
          <w:sz w:val="28"/>
          <w:szCs w:val="28"/>
        </w:rPr>
        <w:t>to</w:t>
      </w:r>
      <w:r>
        <w:rPr>
          <w:rFonts w:asciiTheme="minorHAnsi" w:hAnsiTheme="minorHAnsi" w:cstheme="minorHAnsi"/>
          <w:color w:val="000000" w:themeColor="text1"/>
          <w:sz w:val="28"/>
          <w:szCs w:val="28"/>
        </w:rPr>
        <w:t xml:space="preserve"> in-person </w:t>
      </w:r>
      <w:r w:rsidR="00181A2C">
        <w:rPr>
          <w:rFonts w:asciiTheme="minorHAnsi" w:hAnsiTheme="minorHAnsi" w:cstheme="minorHAnsi"/>
          <w:color w:val="000000" w:themeColor="text1"/>
          <w:sz w:val="28"/>
          <w:szCs w:val="28"/>
        </w:rPr>
        <w:t>instruction</w:t>
      </w:r>
      <w:r>
        <w:rPr>
          <w:rFonts w:asciiTheme="minorHAnsi" w:hAnsiTheme="minorHAnsi" w:cstheme="minorHAnsi"/>
          <w:color w:val="000000" w:themeColor="text1"/>
          <w:sz w:val="28"/>
          <w:szCs w:val="28"/>
        </w:rPr>
        <w:t xml:space="preserve">. </w:t>
      </w:r>
      <w:r w:rsidR="00FA7211" w:rsidRPr="00967ECE">
        <w:rPr>
          <w:rFonts w:asciiTheme="minorHAnsi" w:hAnsiTheme="minorHAnsi" w:cstheme="minorHAnsi"/>
          <w:color w:val="000000" w:themeColor="text1"/>
          <w:sz w:val="28"/>
          <w:szCs w:val="28"/>
        </w:rPr>
        <w:t>You may view the A</w:t>
      </w:r>
      <w:r w:rsidR="004503EA">
        <w:rPr>
          <w:rFonts w:asciiTheme="minorHAnsi" w:hAnsiTheme="minorHAnsi" w:cstheme="minorHAnsi"/>
          <w:color w:val="000000" w:themeColor="text1"/>
          <w:sz w:val="28"/>
          <w:szCs w:val="28"/>
        </w:rPr>
        <w:t>Z</w:t>
      </w:r>
      <w:r w:rsidR="00FA7211" w:rsidRPr="00967ECE">
        <w:rPr>
          <w:rFonts w:asciiTheme="minorHAnsi" w:hAnsiTheme="minorHAnsi" w:cstheme="minorHAnsi"/>
          <w:color w:val="000000" w:themeColor="text1"/>
          <w:sz w:val="28"/>
          <w:szCs w:val="28"/>
        </w:rPr>
        <w:t>DHS</w:t>
      </w:r>
      <w:r>
        <w:rPr>
          <w:rFonts w:asciiTheme="minorHAnsi" w:hAnsiTheme="minorHAnsi" w:cstheme="minorHAnsi"/>
          <w:color w:val="000000" w:themeColor="text1"/>
          <w:sz w:val="28"/>
          <w:szCs w:val="28"/>
        </w:rPr>
        <w:t xml:space="preserve"> benchmarks and dashboard </w:t>
      </w:r>
      <w:r w:rsidR="00181A2C">
        <w:rPr>
          <w:rFonts w:asciiTheme="minorHAnsi" w:hAnsiTheme="minorHAnsi" w:cstheme="minorHAnsi"/>
          <w:color w:val="000000" w:themeColor="text1"/>
          <w:sz w:val="28"/>
          <w:szCs w:val="28"/>
        </w:rPr>
        <w:t xml:space="preserve">here: </w:t>
      </w:r>
      <w:hyperlink r:id="rId5" w:anchor="novel-coronavirus-schools" w:history="1">
        <w:r w:rsidR="00181A2C" w:rsidRPr="00AA6D9D">
          <w:rPr>
            <w:rStyle w:val="Hyperlink"/>
            <w:rFonts w:asciiTheme="minorHAnsi" w:hAnsiTheme="minorHAnsi" w:cstheme="minorHAnsi"/>
            <w:sz w:val="28"/>
            <w:szCs w:val="28"/>
          </w:rPr>
          <w:t>https://www.azdhs.gov/preparedness/epidemiology-disease-control/infectious-disease-epidemiology/index.php#novel-coronavirus-schools</w:t>
        </w:r>
      </w:hyperlink>
      <w:r>
        <w:rPr>
          <w:rFonts w:asciiTheme="minorHAnsi" w:hAnsiTheme="minorHAnsi" w:cstheme="minorHAnsi"/>
          <w:color w:val="000000" w:themeColor="text1"/>
          <w:sz w:val="28"/>
          <w:szCs w:val="28"/>
        </w:rPr>
        <w:t xml:space="preserve"> and the document for a safe return for in-person instruction</w:t>
      </w:r>
      <w:r w:rsidR="00181A2C">
        <w:rPr>
          <w:rFonts w:asciiTheme="minorHAnsi" w:hAnsiTheme="minorHAnsi" w:cstheme="minorHAnsi"/>
          <w:color w:val="000000" w:themeColor="text1"/>
          <w:sz w:val="28"/>
          <w:szCs w:val="28"/>
        </w:rPr>
        <w:t xml:space="preserve"> can be found here</w:t>
      </w:r>
      <w:r>
        <w:rPr>
          <w:rFonts w:asciiTheme="minorHAnsi" w:hAnsiTheme="minorHAnsi" w:cstheme="minorHAnsi"/>
          <w:color w:val="000000" w:themeColor="text1"/>
          <w:sz w:val="28"/>
          <w:szCs w:val="28"/>
        </w:rPr>
        <w:t xml:space="preserve">: </w:t>
      </w:r>
      <w:hyperlink r:id="rId6" w:history="1">
        <w:r w:rsidRPr="00AA6D9D">
          <w:rPr>
            <w:rStyle w:val="Hyperlink"/>
            <w:rFonts w:asciiTheme="minorHAnsi" w:hAnsiTheme="minorHAnsi" w:cstheme="minorHAnsi"/>
            <w:sz w:val="28"/>
            <w:szCs w:val="28"/>
          </w:rPr>
          <w:t>https://www.azdhs.gov/documents/preparedness/epidemiology-disease-control/infectious-disease-epidemiology/novel-coronavirus/covid-19-safely-return-to-in-person-instruction.pdf</w:t>
        </w:r>
      </w:hyperlink>
      <w:r>
        <w:rPr>
          <w:rFonts w:asciiTheme="minorHAnsi" w:hAnsiTheme="minorHAnsi" w:cstheme="minorHAnsi"/>
          <w:color w:val="000000" w:themeColor="text1"/>
          <w:sz w:val="28"/>
          <w:szCs w:val="28"/>
        </w:rPr>
        <w:t xml:space="preserve">. </w:t>
      </w:r>
    </w:p>
    <w:p w14:paraId="75590B28" w14:textId="1E253950" w:rsidR="00967ECE" w:rsidRDefault="001D5972" w:rsidP="00A8111F">
      <w:pPr>
        <w:pStyle w:val="NormalWeb"/>
        <w:numPr>
          <w:ilvl w:val="0"/>
          <w:numId w:val="2"/>
        </w:numPr>
        <w:spacing w:before="0" w:beforeAutospacing="0" w:after="188" w:afterAutospacing="0"/>
        <w:rPr>
          <w:rFonts w:asciiTheme="minorHAnsi" w:hAnsiTheme="minorHAnsi" w:cstheme="minorHAnsi"/>
          <w:color w:val="000000" w:themeColor="text1"/>
          <w:sz w:val="28"/>
          <w:szCs w:val="28"/>
        </w:rPr>
      </w:pPr>
      <w:r>
        <w:rPr>
          <w:rFonts w:asciiTheme="minorHAnsi" w:hAnsiTheme="minorHAnsi" w:cstheme="minorHAnsi"/>
          <w:b/>
          <w:bCs/>
          <w:color w:val="000000" w:themeColor="text1"/>
          <w:sz w:val="28"/>
          <w:szCs w:val="28"/>
        </w:rPr>
        <w:t>Limited o</w:t>
      </w:r>
      <w:r w:rsidR="00967ECE" w:rsidRPr="00825B9E">
        <w:rPr>
          <w:rFonts w:asciiTheme="minorHAnsi" w:hAnsiTheme="minorHAnsi" w:cstheme="minorHAnsi"/>
          <w:b/>
          <w:bCs/>
          <w:color w:val="000000" w:themeColor="text1"/>
          <w:sz w:val="28"/>
          <w:szCs w:val="28"/>
        </w:rPr>
        <w:t>n-site support services</w:t>
      </w:r>
      <w:r w:rsidR="00B22D33">
        <w:rPr>
          <w:rFonts w:asciiTheme="minorHAnsi" w:hAnsiTheme="minorHAnsi" w:cstheme="minorHAnsi"/>
          <w:b/>
          <w:bCs/>
          <w:color w:val="000000" w:themeColor="text1"/>
          <w:sz w:val="28"/>
          <w:szCs w:val="28"/>
        </w:rPr>
        <w:t xml:space="preserve"> </w:t>
      </w:r>
      <w:r w:rsidR="00B22D33" w:rsidRPr="00B22D33">
        <w:rPr>
          <w:rFonts w:asciiTheme="minorHAnsi" w:hAnsiTheme="minorHAnsi" w:cstheme="minorHAnsi"/>
          <w:color w:val="000000" w:themeColor="text1"/>
          <w:sz w:val="28"/>
          <w:szCs w:val="28"/>
        </w:rPr>
        <w:t>w</w:t>
      </w:r>
      <w:r w:rsidR="00967ECE" w:rsidRPr="00B22D33">
        <w:rPr>
          <w:rFonts w:asciiTheme="minorHAnsi" w:hAnsiTheme="minorHAnsi" w:cstheme="minorHAnsi"/>
          <w:color w:val="000000" w:themeColor="text1"/>
          <w:sz w:val="28"/>
          <w:szCs w:val="28"/>
        </w:rPr>
        <w:t>i</w:t>
      </w:r>
      <w:r w:rsidR="00967ECE">
        <w:rPr>
          <w:rFonts w:asciiTheme="minorHAnsi" w:hAnsiTheme="minorHAnsi" w:cstheme="minorHAnsi"/>
          <w:color w:val="000000" w:themeColor="text1"/>
          <w:sz w:val="28"/>
          <w:szCs w:val="28"/>
        </w:rPr>
        <w:t>ll be available and priority placement will be given to students with special services</w:t>
      </w:r>
      <w:r>
        <w:rPr>
          <w:rFonts w:asciiTheme="minorHAnsi" w:hAnsiTheme="minorHAnsi" w:cstheme="minorHAnsi"/>
          <w:color w:val="000000" w:themeColor="text1"/>
          <w:sz w:val="28"/>
          <w:szCs w:val="28"/>
        </w:rPr>
        <w:t>, extreme circumstances,</w:t>
      </w:r>
      <w:r w:rsidR="00967ECE">
        <w:rPr>
          <w:rFonts w:asciiTheme="minorHAnsi" w:hAnsiTheme="minorHAnsi" w:cstheme="minorHAnsi"/>
          <w:color w:val="000000" w:themeColor="text1"/>
          <w:sz w:val="28"/>
          <w:szCs w:val="28"/>
        </w:rPr>
        <w:t xml:space="preserve"> and those previously enrolled in on-site support. We will be contacti</w:t>
      </w:r>
      <w:r w:rsidR="00A01C38">
        <w:rPr>
          <w:rFonts w:asciiTheme="minorHAnsi" w:hAnsiTheme="minorHAnsi" w:cstheme="minorHAnsi"/>
          <w:color w:val="000000" w:themeColor="text1"/>
          <w:sz w:val="28"/>
          <w:szCs w:val="28"/>
        </w:rPr>
        <w:t xml:space="preserve">ng families to assist </w:t>
      </w:r>
      <w:r w:rsidR="004503EA">
        <w:rPr>
          <w:rFonts w:asciiTheme="minorHAnsi" w:hAnsiTheme="minorHAnsi" w:cstheme="minorHAnsi"/>
          <w:color w:val="000000" w:themeColor="text1"/>
          <w:sz w:val="28"/>
          <w:szCs w:val="28"/>
        </w:rPr>
        <w:t xml:space="preserve">with </w:t>
      </w:r>
      <w:r w:rsidR="00A01C38">
        <w:rPr>
          <w:rFonts w:asciiTheme="minorHAnsi" w:hAnsiTheme="minorHAnsi" w:cstheme="minorHAnsi"/>
          <w:color w:val="000000" w:themeColor="text1"/>
          <w:sz w:val="28"/>
          <w:szCs w:val="28"/>
        </w:rPr>
        <w:t>on-site support in the coming days. If you would like to be considered for on-site support, please email M</w:t>
      </w:r>
      <w:r>
        <w:rPr>
          <w:rFonts w:asciiTheme="minorHAnsi" w:hAnsiTheme="minorHAnsi" w:cstheme="minorHAnsi"/>
          <w:color w:val="000000" w:themeColor="text1"/>
          <w:sz w:val="28"/>
          <w:szCs w:val="28"/>
        </w:rPr>
        <w:t>r</w:t>
      </w:r>
      <w:r w:rsidR="00A01C38">
        <w:rPr>
          <w:rFonts w:asciiTheme="minorHAnsi" w:hAnsiTheme="minorHAnsi" w:cstheme="minorHAnsi"/>
          <w:color w:val="000000" w:themeColor="text1"/>
          <w:sz w:val="28"/>
          <w:szCs w:val="28"/>
        </w:rPr>
        <w:t>. Stefan.</w:t>
      </w:r>
    </w:p>
    <w:p w14:paraId="67394786" w14:textId="143F2127" w:rsidR="00884FFE" w:rsidRDefault="00884FFE" w:rsidP="00A8111F">
      <w:pPr>
        <w:pStyle w:val="NormalWeb"/>
        <w:numPr>
          <w:ilvl w:val="0"/>
          <w:numId w:val="2"/>
        </w:numPr>
        <w:spacing w:before="0" w:beforeAutospacing="0" w:after="188" w:afterAutospacing="0"/>
        <w:rPr>
          <w:rFonts w:asciiTheme="minorHAnsi" w:hAnsiTheme="minorHAnsi" w:cstheme="minorHAnsi"/>
          <w:color w:val="000000" w:themeColor="text1"/>
          <w:sz w:val="28"/>
          <w:szCs w:val="28"/>
        </w:rPr>
      </w:pPr>
      <w:r>
        <w:rPr>
          <w:rFonts w:asciiTheme="minorHAnsi" w:hAnsiTheme="minorHAnsi" w:cstheme="minorHAnsi"/>
          <w:b/>
          <w:bCs/>
          <w:color w:val="000000" w:themeColor="text1"/>
          <w:sz w:val="28"/>
          <w:szCs w:val="28"/>
        </w:rPr>
        <w:t xml:space="preserve">Materials and Technology for Distance Learning: </w:t>
      </w:r>
      <w:r>
        <w:rPr>
          <w:rFonts w:asciiTheme="minorHAnsi" w:hAnsiTheme="minorHAnsi" w:cstheme="minorHAnsi"/>
          <w:color w:val="000000" w:themeColor="text1"/>
          <w:sz w:val="28"/>
          <w:szCs w:val="28"/>
        </w:rPr>
        <w:t>You will be receiving a separate email regarding materials and technology for Distance Learning.</w:t>
      </w:r>
    </w:p>
    <w:p w14:paraId="016B9B32" w14:textId="7C354A8B" w:rsidR="00825B9E" w:rsidRDefault="00825B9E" w:rsidP="00A8111F">
      <w:pPr>
        <w:pStyle w:val="NormalWeb"/>
        <w:numPr>
          <w:ilvl w:val="0"/>
          <w:numId w:val="2"/>
        </w:numPr>
        <w:spacing w:before="0" w:beforeAutospacing="0" w:after="188" w:afterAutospacing="0"/>
        <w:rPr>
          <w:rFonts w:asciiTheme="minorHAnsi" w:hAnsiTheme="minorHAnsi" w:cstheme="minorHAnsi"/>
          <w:color w:val="000000" w:themeColor="text1"/>
          <w:sz w:val="28"/>
          <w:szCs w:val="28"/>
        </w:rPr>
      </w:pPr>
      <w:r w:rsidRPr="00825B9E">
        <w:rPr>
          <w:rFonts w:asciiTheme="minorHAnsi" w:hAnsiTheme="minorHAnsi" w:cstheme="minorHAnsi"/>
          <w:b/>
          <w:bCs/>
          <w:color w:val="000000" w:themeColor="text1"/>
          <w:sz w:val="28"/>
          <w:szCs w:val="28"/>
        </w:rPr>
        <w:t xml:space="preserve">Toddler and Children’s House: </w:t>
      </w:r>
      <w:r>
        <w:rPr>
          <w:rFonts w:asciiTheme="minorHAnsi" w:hAnsiTheme="minorHAnsi" w:cstheme="minorHAnsi"/>
          <w:color w:val="000000" w:themeColor="text1"/>
          <w:sz w:val="28"/>
          <w:szCs w:val="28"/>
        </w:rPr>
        <w:t>Keystone will continue to offer in-person learning for ou</w:t>
      </w:r>
      <w:r w:rsidR="001D5972">
        <w:rPr>
          <w:rFonts w:asciiTheme="minorHAnsi" w:hAnsiTheme="minorHAnsi" w:cstheme="minorHAnsi"/>
          <w:color w:val="000000" w:themeColor="text1"/>
          <w:sz w:val="28"/>
          <w:szCs w:val="28"/>
        </w:rPr>
        <w:t>r</w:t>
      </w:r>
      <w:r>
        <w:rPr>
          <w:rFonts w:asciiTheme="minorHAnsi" w:hAnsiTheme="minorHAnsi" w:cstheme="minorHAnsi"/>
          <w:color w:val="000000" w:themeColor="text1"/>
          <w:sz w:val="28"/>
          <w:szCs w:val="28"/>
        </w:rPr>
        <w:t xml:space="preserve"> Toddler and Children’s House classrooms in accorda</w:t>
      </w:r>
      <w:r w:rsidR="00B22D33">
        <w:rPr>
          <w:rFonts w:asciiTheme="minorHAnsi" w:hAnsiTheme="minorHAnsi" w:cstheme="minorHAnsi"/>
          <w:color w:val="000000" w:themeColor="text1"/>
          <w:sz w:val="28"/>
          <w:szCs w:val="28"/>
        </w:rPr>
        <w:t xml:space="preserve">nce </w:t>
      </w:r>
      <w:r w:rsidR="00B22D33">
        <w:rPr>
          <w:rFonts w:asciiTheme="minorHAnsi" w:hAnsiTheme="minorHAnsi" w:cstheme="minorHAnsi"/>
          <w:color w:val="000000" w:themeColor="text1"/>
          <w:sz w:val="28"/>
          <w:szCs w:val="28"/>
        </w:rPr>
        <w:lastRenderedPageBreak/>
        <w:t>with the State of Arizona’s direction. All mitigation protocols and practices will remain in effect.</w:t>
      </w:r>
    </w:p>
    <w:p w14:paraId="23799FEC" w14:textId="77777777" w:rsidR="00884FFE" w:rsidRDefault="00884FFE" w:rsidP="00884FFE">
      <w:pPr>
        <w:pStyle w:val="NormalWeb"/>
        <w:spacing w:before="0" w:beforeAutospacing="0" w:after="188" w:afterAutospacing="0"/>
        <w:ind w:left="360"/>
        <w:rPr>
          <w:rFonts w:asciiTheme="minorHAnsi" w:hAnsiTheme="minorHAnsi" w:cstheme="minorHAnsi"/>
          <w:color w:val="000000" w:themeColor="text1"/>
          <w:sz w:val="28"/>
          <w:szCs w:val="28"/>
        </w:rPr>
      </w:pPr>
    </w:p>
    <w:p w14:paraId="6DBEBF65" w14:textId="24DC3E99" w:rsidR="00DF0F0C" w:rsidRPr="00A8111F" w:rsidRDefault="00884FFE" w:rsidP="00A8111F">
      <w:pPr>
        <w:rPr>
          <w:sz w:val="28"/>
          <w:szCs w:val="28"/>
        </w:rPr>
      </w:pPr>
      <w:r>
        <w:rPr>
          <w:sz w:val="28"/>
          <w:szCs w:val="28"/>
        </w:rPr>
        <w:t>In continuing</w:t>
      </w:r>
      <w:r w:rsidR="00A8111F">
        <w:rPr>
          <w:sz w:val="28"/>
          <w:szCs w:val="28"/>
        </w:rPr>
        <w:t xml:space="preserve"> </w:t>
      </w:r>
      <w:r w:rsidR="00DF0F0C" w:rsidRPr="00A8111F">
        <w:rPr>
          <w:sz w:val="28"/>
          <w:szCs w:val="28"/>
        </w:rPr>
        <w:t xml:space="preserve">transparent </w:t>
      </w:r>
      <w:r w:rsidR="00A8111F">
        <w:rPr>
          <w:sz w:val="28"/>
          <w:szCs w:val="28"/>
        </w:rPr>
        <w:t>communication</w:t>
      </w:r>
      <w:r w:rsidR="00DF0F0C" w:rsidRPr="00A8111F">
        <w:rPr>
          <w:sz w:val="28"/>
          <w:szCs w:val="28"/>
        </w:rPr>
        <w:t xml:space="preserve">, we have outlined the </w:t>
      </w:r>
      <w:r w:rsidR="00A01C38" w:rsidRPr="00A8111F">
        <w:rPr>
          <w:sz w:val="28"/>
          <w:szCs w:val="28"/>
        </w:rPr>
        <w:t>decision</w:t>
      </w:r>
      <w:r w:rsidR="00181A2C" w:rsidRPr="00A8111F">
        <w:rPr>
          <w:sz w:val="28"/>
          <w:szCs w:val="28"/>
        </w:rPr>
        <w:t>-</w:t>
      </w:r>
      <w:r w:rsidR="002E1869" w:rsidRPr="00A8111F">
        <w:rPr>
          <w:sz w:val="28"/>
          <w:szCs w:val="28"/>
        </w:rPr>
        <w:t>making path</w:t>
      </w:r>
      <w:r w:rsidR="00A01C38" w:rsidRPr="00A8111F">
        <w:rPr>
          <w:sz w:val="28"/>
          <w:szCs w:val="28"/>
        </w:rPr>
        <w:t xml:space="preserve"> </w:t>
      </w:r>
      <w:r w:rsidR="00DF0F0C" w:rsidRPr="00A8111F">
        <w:rPr>
          <w:sz w:val="28"/>
          <w:szCs w:val="28"/>
        </w:rPr>
        <w:t>below. Keystone’s decision to return to Distance Learning was made based on the following criteria</w:t>
      </w:r>
      <w:r w:rsidR="00A01C38" w:rsidRPr="00A8111F">
        <w:rPr>
          <w:sz w:val="28"/>
          <w:szCs w:val="28"/>
        </w:rPr>
        <w:t xml:space="preserve"> and</w:t>
      </w:r>
      <w:r>
        <w:rPr>
          <w:sz w:val="28"/>
          <w:szCs w:val="28"/>
        </w:rPr>
        <w:t xml:space="preserve"> as advised by the Maricopa County Department of Public Health (MCDPH)</w:t>
      </w:r>
      <w:r w:rsidR="00C97AAE" w:rsidRPr="00A8111F">
        <w:rPr>
          <w:sz w:val="28"/>
          <w:szCs w:val="28"/>
        </w:rPr>
        <w:t>:</w:t>
      </w:r>
    </w:p>
    <w:p w14:paraId="29B28DBC" w14:textId="77777777" w:rsidR="003D73AD" w:rsidRDefault="003D73AD">
      <w:pPr>
        <w:rPr>
          <w:sz w:val="28"/>
          <w:szCs w:val="28"/>
        </w:rPr>
      </w:pPr>
    </w:p>
    <w:p w14:paraId="758D6E58" w14:textId="151475E0" w:rsidR="00825B9E" w:rsidRDefault="00D10CF2" w:rsidP="00825B9E">
      <w:pPr>
        <w:pStyle w:val="ListParagraph"/>
        <w:numPr>
          <w:ilvl w:val="0"/>
          <w:numId w:val="1"/>
        </w:numPr>
        <w:rPr>
          <w:sz w:val="28"/>
          <w:szCs w:val="28"/>
        </w:rPr>
      </w:pPr>
      <w:r w:rsidRPr="00D10CF2">
        <w:rPr>
          <w:b/>
          <w:bCs/>
          <w:sz w:val="28"/>
          <w:szCs w:val="28"/>
        </w:rPr>
        <w:t>AZDHS Benchmarks:</w:t>
      </w:r>
      <w:r>
        <w:rPr>
          <w:sz w:val="28"/>
          <w:szCs w:val="28"/>
        </w:rPr>
        <w:t xml:space="preserve"> </w:t>
      </w:r>
      <w:r w:rsidR="00DF0F0C">
        <w:rPr>
          <w:sz w:val="28"/>
          <w:szCs w:val="28"/>
        </w:rPr>
        <w:t xml:space="preserve">The benchmark numbers provided by the Arizona Department of Health Services are </w:t>
      </w:r>
      <w:r w:rsidR="000C7399">
        <w:rPr>
          <w:sz w:val="28"/>
          <w:szCs w:val="28"/>
        </w:rPr>
        <w:t xml:space="preserve">a </w:t>
      </w:r>
      <w:r w:rsidR="00C97AAE">
        <w:rPr>
          <w:sz w:val="28"/>
          <w:szCs w:val="28"/>
        </w:rPr>
        <w:t xml:space="preserve">data driven, scientific guideline that has been given to educators. </w:t>
      </w:r>
      <w:r>
        <w:rPr>
          <w:sz w:val="28"/>
          <w:szCs w:val="28"/>
        </w:rPr>
        <w:t>S</w:t>
      </w:r>
      <w:r w:rsidR="00C97AAE">
        <w:rPr>
          <w:sz w:val="28"/>
          <w:szCs w:val="28"/>
        </w:rPr>
        <w:t xml:space="preserve">chools across the state have been asked to make safe operating decisions based on this set of standards. The benchmark numbers are </w:t>
      </w:r>
      <w:r w:rsidR="00DF0F0C">
        <w:rPr>
          <w:sz w:val="28"/>
          <w:szCs w:val="28"/>
        </w:rPr>
        <w:t>steadily rising</w:t>
      </w:r>
      <w:r w:rsidR="00181A2C">
        <w:rPr>
          <w:sz w:val="28"/>
          <w:szCs w:val="28"/>
        </w:rPr>
        <w:t>. The two data points</w:t>
      </w:r>
      <w:r w:rsidR="00884FFE">
        <w:rPr>
          <w:sz w:val="28"/>
          <w:szCs w:val="28"/>
        </w:rPr>
        <w:t xml:space="preserve"> </w:t>
      </w:r>
      <w:r w:rsidR="000C7399">
        <w:rPr>
          <w:sz w:val="28"/>
          <w:szCs w:val="28"/>
        </w:rPr>
        <w:t xml:space="preserve">MCDPH </w:t>
      </w:r>
      <w:r w:rsidR="00181A2C">
        <w:rPr>
          <w:sz w:val="28"/>
          <w:szCs w:val="28"/>
        </w:rPr>
        <w:t xml:space="preserve">has recommended we place the most weight upon are </w:t>
      </w:r>
      <w:r w:rsidR="00DF0F0C">
        <w:rPr>
          <w:sz w:val="28"/>
          <w:szCs w:val="28"/>
        </w:rPr>
        <w:t xml:space="preserve">in or approaching the red substantial category. </w:t>
      </w:r>
      <w:r w:rsidR="00C97AAE">
        <w:rPr>
          <w:sz w:val="28"/>
          <w:szCs w:val="28"/>
        </w:rPr>
        <w:t xml:space="preserve">AZDHS recommends preparation for a return to distance learning when one category has reached the red for two weeks. </w:t>
      </w:r>
      <w:r w:rsidR="00A8111F">
        <w:rPr>
          <w:sz w:val="28"/>
          <w:szCs w:val="28"/>
        </w:rPr>
        <w:t>The graph below compares the data on the date Keystone resumed in-person instruction on September 14</w:t>
      </w:r>
      <w:r w:rsidR="00A8111F" w:rsidRPr="00A8111F">
        <w:rPr>
          <w:sz w:val="28"/>
          <w:szCs w:val="28"/>
          <w:vertAlign w:val="superscript"/>
        </w:rPr>
        <w:t>th</w:t>
      </w:r>
      <w:r w:rsidR="00A8111F">
        <w:rPr>
          <w:sz w:val="28"/>
          <w:szCs w:val="28"/>
        </w:rPr>
        <w:t xml:space="preserve"> to the data released this week.</w:t>
      </w:r>
    </w:p>
    <w:p w14:paraId="4CFAD49C" w14:textId="77777777" w:rsidR="004503EA" w:rsidRPr="00825B9E" w:rsidRDefault="004503EA" w:rsidP="004503EA">
      <w:pPr>
        <w:pStyle w:val="ListParagraph"/>
        <w:rPr>
          <w:sz w:val="28"/>
          <w:szCs w:val="28"/>
        </w:rPr>
      </w:pPr>
      <w:bookmarkStart w:id="0" w:name="_GoBack"/>
      <w:bookmarkEnd w:id="0"/>
    </w:p>
    <w:tbl>
      <w:tblPr>
        <w:tblStyle w:val="TableGrid"/>
        <w:tblW w:w="0" w:type="auto"/>
        <w:tblInd w:w="720" w:type="dxa"/>
        <w:tblLook w:val="04A0" w:firstRow="1" w:lastRow="0" w:firstColumn="1" w:lastColumn="0" w:noHBand="0" w:noVBand="1"/>
      </w:tblPr>
      <w:tblGrid>
        <w:gridCol w:w="2335"/>
        <w:gridCol w:w="3420"/>
        <w:gridCol w:w="1980"/>
      </w:tblGrid>
      <w:tr w:rsidR="000C7399" w14:paraId="67AD89AF" w14:textId="77777777" w:rsidTr="000C7399">
        <w:tc>
          <w:tcPr>
            <w:tcW w:w="2335" w:type="dxa"/>
            <w:shd w:val="clear" w:color="auto" w:fill="E7E6E6" w:themeFill="background2"/>
          </w:tcPr>
          <w:p w14:paraId="07349125" w14:textId="2D04535D" w:rsidR="00825B9E" w:rsidRPr="000C7399" w:rsidRDefault="00825B9E" w:rsidP="00825B9E">
            <w:pPr>
              <w:pStyle w:val="ListParagraph"/>
              <w:ind w:left="0"/>
              <w:rPr>
                <w:b/>
                <w:bCs/>
                <w:sz w:val="28"/>
                <w:szCs w:val="28"/>
              </w:rPr>
            </w:pPr>
            <w:r w:rsidRPr="000C7399">
              <w:rPr>
                <w:b/>
                <w:bCs/>
                <w:sz w:val="28"/>
                <w:szCs w:val="28"/>
              </w:rPr>
              <w:t>Benchmark</w:t>
            </w:r>
          </w:p>
        </w:tc>
        <w:tc>
          <w:tcPr>
            <w:tcW w:w="3420" w:type="dxa"/>
            <w:shd w:val="clear" w:color="auto" w:fill="E7E6E6" w:themeFill="background2"/>
          </w:tcPr>
          <w:p w14:paraId="06B0F3F0" w14:textId="2BBC21C3" w:rsidR="00825B9E" w:rsidRPr="000C7399" w:rsidRDefault="00825B9E" w:rsidP="00825B9E">
            <w:pPr>
              <w:pStyle w:val="ListParagraph"/>
              <w:ind w:left="0"/>
              <w:rPr>
                <w:b/>
                <w:bCs/>
                <w:sz w:val="28"/>
                <w:szCs w:val="28"/>
              </w:rPr>
            </w:pPr>
            <w:r w:rsidRPr="000C7399">
              <w:rPr>
                <w:b/>
                <w:bCs/>
                <w:sz w:val="28"/>
                <w:szCs w:val="28"/>
              </w:rPr>
              <w:t>Sept. 14</w:t>
            </w:r>
            <w:r w:rsidRPr="000C7399">
              <w:rPr>
                <w:b/>
                <w:bCs/>
                <w:sz w:val="28"/>
                <w:szCs w:val="28"/>
                <w:vertAlign w:val="superscript"/>
              </w:rPr>
              <w:t>th</w:t>
            </w:r>
            <w:r w:rsidRPr="000C7399">
              <w:rPr>
                <w:b/>
                <w:bCs/>
                <w:sz w:val="28"/>
                <w:szCs w:val="28"/>
              </w:rPr>
              <w:t xml:space="preserve"> (date of return)</w:t>
            </w:r>
          </w:p>
        </w:tc>
        <w:tc>
          <w:tcPr>
            <w:tcW w:w="1980" w:type="dxa"/>
            <w:shd w:val="clear" w:color="auto" w:fill="E7E6E6" w:themeFill="background2"/>
          </w:tcPr>
          <w:p w14:paraId="4D8AFA34" w14:textId="56561C43" w:rsidR="00825B9E" w:rsidRPr="000C7399" w:rsidRDefault="000C7399" w:rsidP="00825B9E">
            <w:pPr>
              <w:pStyle w:val="ListParagraph"/>
              <w:ind w:left="0"/>
              <w:rPr>
                <w:b/>
                <w:bCs/>
                <w:sz w:val="28"/>
                <w:szCs w:val="28"/>
              </w:rPr>
            </w:pPr>
            <w:r w:rsidRPr="000C7399">
              <w:rPr>
                <w:b/>
                <w:bCs/>
                <w:sz w:val="28"/>
                <w:szCs w:val="28"/>
              </w:rPr>
              <w:t>Current (11/1)</w:t>
            </w:r>
            <w:r w:rsidR="00825B9E" w:rsidRPr="000C7399">
              <w:rPr>
                <w:b/>
                <w:bCs/>
                <w:sz w:val="28"/>
                <w:szCs w:val="28"/>
              </w:rPr>
              <w:t xml:space="preserve"> </w:t>
            </w:r>
          </w:p>
        </w:tc>
      </w:tr>
      <w:tr w:rsidR="00825B9E" w14:paraId="598C52B8" w14:textId="77777777" w:rsidTr="000C7399">
        <w:tc>
          <w:tcPr>
            <w:tcW w:w="2335" w:type="dxa"/>
            <w:shd w:val="clear" w:color="auto" w:fill="auto"/>
          </w:tcPr>
          <w:p w14:paraId="0787F4E4" w14:textId="4D20DE90" w:rsidR="00825B9E" w:rsidRPr="000C7399" w:rsidRDefault="00825B9E" w:rsidP="00825B9E">
            <w:pPr>
              <w:pStyle w:val="ListParagraph"/>
              <w:ind w:left="0"/>
              <w:rPr>
                <w:b/>
                <w:bCs/>
                <w:sz w:val="28"/>
                <w:szCs w:val="28"/>
              </w:rPr>
            </w:pPr>
            <w:r w:rsidRPr="000C7399">
              <w:rPr>
                <w:b/>
                <w:bCs/>
                <w:sz w:val="28"/>
                <w:szCs w:val="28"/>
              </w:rPr>
              <w:t>Cases per 100,000</w:t>
            </w:r>
          </w:p>
        </w:tc>
        <w:tc>
          <w:tcPr>
            <w:tcW w:w="3420" w:type="dxa"/>
            <w:shd w:val="clear" w:color="auto" w:fill="auto"/>
          </w:tcPr>
          <w:p w14:paraId="05CA7B0A" w14:textId="0774AFA7" w:rsidR="00825B9E" w:rsidRPr="000C7399" w:rsidRDefault="00825B9E" w:rsidP="00825B9E">
            <w:pPr>
              <w:pStyle w:val="ListParagraph"/>
              <w:ind w:left="0"/>
              <w:rPr>
                <w:b/>
                <w:bCs/>
                <w:sz w:val="28"/>
                <w:szCs w:val="28"/>
              </w:rPr>
            </w:pPr>
            <w:r w:rsidRPr="000C7399">
              <w:rPr>
                <w:b/>
                <w:bCs/>
                <w:sz w:val="28"/>
                <w:szCs w:val="28"/>
              </w:rPr>
              <w:t>58</w:t>
            </w:r>
          </w:p>
        </w:tc>
        <w:tc>
          <w:tcPr>
            <w:tcW w:w="1980" w:type="dxa"/>
            <w:shd w:val="clear" w:color="auto" w:fill="auto"/>
          </w:tcPr>
          <w:p w14:paraId="43DEE88D" w14:textId="5CE44F68" w:rsidR="00825B9E" w:rsidRPr="000C7399" w:rsidRDefault="00825B9E" w:rsidP="00825B9E">
            <w:pPr>
              <w:pStyle w:val="ListParagraph"/>
              <w:ind w:left="0"/>
              <w:rPr>
                <w:b/>
                <w:bCs/>
                <w:sz w:val="28"/>
                <w:szCs w:val="28"/>
              </w:rPr>
            </w:pPr>
            <w:r w:rsidRPr="000C7399">
              <w:rPr>
                <w:b/>
                <w:bCs/>
                <w:sz w:val="28"/>
                <w:szCs w:val="28"/>
              </w:rPr>
              <w:t>21</w:t>
            </w:r>
            <w:r w:rsidR="000C7399" w:rsidRPr="000C7399">
              <w:rPr>
                <w:b/>
                <w:bCs/>
                <w:sz w:val="28"/>
                <w:szCs w:val="28"/>
              </w:rPr>
              <w:t>2</w:t>
            </w:r>
          </w:p>
        </w:tc>
      </w:tr>
      <w:tr w:rsidR="00825B9E" w14:paraId="2B3DE810" w14:textId="77777777" w:rsidTr="000C7399">
        <w:tc>
          <w:tcPr>
            <w:tcW w:w="2335" w:type="dxa"/>
            <w:shd w:val="clear" w:color="auto" w:fill="auto"/>
          </w:tcPr>
          <w:p w14:paraId="2427B0FA" w14:textId="6F0E1F68" w:rsidR="00825B9E" w:rsidRPr="000C7399" w:rsidRDefault="00825B9E" w:rsidP="00825B9E">
            <w:pPr>
              <w:pStyle w:val="ListParagraph"/>
              <w:ind w:left="0"/>
              <w:rPr>
                <w:b/>
                <w:bCs/>
                <w:sz w:val="28"/>
                <w:szCs w:val="28"/>
              </w:rPr>
            </w:pPr>
            <w:r w:rsidRPr="000C7399">
              <w:rPr>
                <w:b/>
                <w:bCs/>
                <w:sz w:val="28"/>
                <w:szCs w:val="28"/>
              </w:rPr>
              <w:t>Percent positivity</w:t>
            </w:r>
          </w:p>
        </w:tc>
        <w:tc>
          <w:tcPr>
            <w:tcW w:w="3420" w:type="dxa"/>
            <w:shd w:val="clear" w:color="auto" w:fill="auto"/>
          </w:tcPr>
          <w:p w14:paraId="21BD34AC" w14:textId="282CC653" w:rsidR="00825B9E" w:rsidRPr="000C7399" w:rsidRDefault="00825B9E" w:rsidP="00825B9E">
            <w:pPr>
              <w:pStyle w:val="ListParagraph"/>
              <w:ind w:left="0"/>
              <w:rPr>
                <w:b/>
                <w:bCs/>
                <w:sz w:val="28"/>
                <w:szCs w:val="28"/>
              </w:rPr>
            </w:pPr>
            <w:r w:rsidRPr="000C7399">
              <w:rPr>
                <w:b/>
                <w:bCs/>
                <w:sz w:val="28"/>
                <w:szCs w:val="28"/>
              </w:rPr>
              <w:t>4.6</w:t>
            </w:r>
          </w:p>
        </w:tc>
        <w:tc>
          <w:tcPr>
            <w:tcW w:w="1980" w:type="dxa"/>
            <w:shd w:val="clear" w:color="auto" w:fill="auto"/>
          </w:tcPr>
          <w:p w14:paraId="729A79C1" w14:textId="55F37062" w:rsidR="00825B9E" w:rsidRPr="000C7399" w:rsidRDefault="000C7399" w:rsidP="00825B9E">
            <w:pPr>
              <w:pStyle w:val="ListParagraph"/>
              <w:ind w:left="0"/>
              <w:rPr>
                <w:b/>
                <w:bCs/>
                <w:sz w:val="28"/>
                <w:szCs w:val="28"/>
              </w:rPr>
            </w:pPr>
            <w:r w:rsidRPr="000C7399">
              <w:rPr>
                <w:b/>
                <w:bCs/>
                <w:sz w:val="28"/>
                <w:szCs w:val="28"/>
              </w:rPr>
              <w:t>8.9</w:t>
            </w:r>
          </w:p>
        </w:tc>
      </w:tr>
    </w:tbl>
    <w:p w14:paraId="1C554848" w14:textId="77777777" w:rsidR="00825B9E" w:rsidRDefault="00825B9E" w:rsidP="00825B9E">
      <w:pPr>
        <w:pStyle w:val="ListParagraph"/>
        <w:rPr>
          <w:sz w:val="28"/>
          <w:szCs w:val="28"/>
        </w:rPr>
      </w:pPr>
    </w:p>
    <w:p w14:paraId="1062E2A7" w14:textId="7BEC68AE" w:rsidR="00F342B7" w:rsidRDefault="00D10CF2" w:rsidP="00825B9E">
      <w:pPr>
        <w:pStyle w:val="ListParagraph"/>
        <w:numPr>
          <w:ilvl w:val="0"/>
          <w:numId w:val="1"/>
        </w:numPr>
        <w:rPr>
          <w:sz w:val="28"/>
          <w:szCs w:val="28"/>
        </w:rPr>
      </w:pPr>
      <w:r w:rsidRPr="00D10CF2">
        <w:rPr>
          <w:b/>
          <w:bCs/>
          <w:sz w:val="28"/>
          <w:szCs w:val="28"/>
        </w:rPr>
        <w:t>COVID-19 Impact on Campus:</w:t>
      </w:r>
      <w:r>
        <w:rPr>
          <w:sz w:val="28"/>
          <w:szCs w:val="28"/>
        </w:rPr>
        <w:t xml:space="preserve"> </w:t>
      </w:r>
      <w:r w:rsidR="000C7399">
        <w:rPr>
          <w:sz w:val="28"/>
          <w:szCs w:val="28"/>
        </w:rPr>
        <w:t xml:space="preserve">MCDPH </w:t>
      </w:r>
      <w:r w:rsidR="00F342B7">
        <w:rPr>
          <w:sz w:val="28"/>
          <w:szCs w:val="28"/>
        </w:rPr>
        <w:t xml:space="preserve">has recommended schools consider the indicators of COVID-19 on campus when deciding to return to Distance Learning. The Keystone Mitigation plan has been instrumental in keeping our campus open and safe. At this time, we have indications that the spread of COVID-19 in our area has reached the Keystone campus. We have community members who have been quarantined due to exposure, positive cases on campus, and a classroom that has been closed. </w:t>
      </w:r>
    </w:p>
    <w:p w14:paraId="0AD90496" w14:textId="09CD5D81" w:rsidR="00F342B7" w:rsidRDefault="00D10CF2" w:rsidP="00DF0F0C">
      <w:pPr>
        <w:pStyle w:val="ListParagraph"/>
        <w:numPr>
          <w:ilvl w:val="0"/>
          <w:numId w:val="1"/>
        </w:numPr>
        <w:rPr>
          <w:sz w:val="28"/>
          <w:szCs w:val="28"/>
        </w:rPr>
      </w:pPr>
      <w:r w:rsidRPr="00D10CF2">
        <w:rPr>
          <w:b/>
          <w:bCs/>
          <w:sz w:val="28"/>
          <w:szCs w:val="28"/>
        </w:rPr>
        <w:t>Staffing Considerations:</w:t>
      </w:r>
      <w:r>
        <w:rPr>
          <w:sz w:val="28"/>
          <w:szCs w:val="28"/>
        </w:rPr>
        <w:t xml:space="preserve"> </w:t>
      </w:r>
      <w:r w:rsidR="000C7399">
        <w:rPr>
          <w:sz w:val="28"/>
          <w:szCs w:val="28"/>
        </w:rPr>
        <w:t>MCDPH</w:t>
      </w:r>
      <w:r w:rsidR="0080256F">
        <w:rPr>
          <w:sz w:val="28"/>
          <w:szCs w:val="28"/>
        </w:rPr>
        <w:t xml:space="preserve"> asked us to weigh t</w:t>
      </w:r>
      <w:r w:rsidR="00F342B7">
        <w:rPr>
          <w:sz w:val="28"/>
          <w:szCs w:val="28"/>
        </w:rPr>
        <w:t xml:space="preserve">he ability to </w:t>
      </w:r>
      <w:r w:rsidR="00A01C38">
        <w:rPr>
          <w:sz w:val="28"/>
          <w:szCs w:val="28"/>
        </w:rPr>
        <w:t xml:space="preserve">maintain appropriate staffing. The Keystone staff is also subject to the protocols of our mitigation plan and we have had an increase in the number of employees needing to quarantine at home due to exposures and while awaiting test results. </w:t>
      </w:r>
      <w:r w:rsidR="002E1869">
        <w:rPr>
          <w:sz w:val="28"/>
          <w:szCs w:val="28"/>
        </w:rPr>
        <w:t xml:space="preserve">Keeping our classrooms properly staffed has been </w:t>
      </w:r>
      <w:r w:rsidR="002E1869">
        <w:rPr>
          <w:sz w:val="28"/>
          <w:szCs w:val="28"/>
        </w:rPr>
        <w:lastRenderedPageBreak/>
        <w:t>increasingly difficult even with the additional staff that was hired in response to the pandemic.</w:t>
      </w:r>
    </w:p>
    <w:p w14:paraId="6B23D159" w14:textId="3868B053" w:rsidR="00884FFE" w:rsidRPr="0091389E" w:rsidRDefault="00D10CF2" w:rsidP="002E1869">
      <w:pPr>
        <w:pStyle w:val="ListParagraph"/>
        <w:numPr>
          <w:ilvl w:val="0"/>
          <w:numId w:val="1"/>
        </w:numPr>
        <w:rPr>
          <w:sz w:val="28"/>
          <w:szCs w:val="28"/>
        </w:rPr>
      </w:pPr>
      <w:r w:rsidRPr="0091389E">
        <w:rPr>
          <w:b/>
          <w:bCs/>
          <w:sz w:val="28"/>
          <w:szCs w:val="28"/>
        </w:rPr>
        <w:t xml:space="preserve">Off-Campus </w:t>
      </w:r>
      <w:r w:rsidR="00884FFE" w:rsidRPr="0091389E">
        <w:rPr>
          <w:b/>
          <w:bCs/>
          <w:sz w:val="28"/>
          <w:szCs w:val="28"/>
        </w:rPr>
        <w:t>B</w:t>
      </w:r>
      <w:r w:rsidRPr="0091389E">
        <w:rPr>
          <w:b/>
          <w:bCs/>
          <w:sz w:val="28"/>
          <w:szCs w:val="28"/>
        </w:rPr>
        <w:t>ehaviors:</w:t>
      </w:r>
      <w:r w:rsidRPr="0091389E">
        <w:rPr>
          <w:sz w:val="28"/>
          <w:szCs w:val="28"/>
        </w:rPr>
        <w:t xml:space="preserve"> </w:t>
      </w:r>
      <w:r w:rsidR="000C7399" w:rsidRPr="0091389E">
        <w:rPr>
          <w:sz w:val="28"/>
          <w:szCs w:val="28"/>
        </w:rPr>
        <w:t>MCDPH</w:t>
      </w:r>
      <w:r w:rsidR="002E1869" w:rsidRPr="0091389E">
        <w:rPr>
          <w:sz w:val="28"/>
          <w:szCs w:val="28"/>
        </w:rPr>
        <w:t xml:space="preserve"> also advised us to consider the community’s commitment to the mitigation plan and protocols while away from campus.</w:t>
      </w:r>
      <w:r w:rsidRPr="0091389E">
        <w:rPr>
          <w:sz w:val="28"/>
          <w:szCs w:val="28"/>
        </w:rPr>
        <w:t xml:space="preserve"> </w:t>
      </w:r>
    </w:p>
    <w:p w14:paraId="56032655" w14:textId="77777777" w:rsidR="00B22D33" w:rsidRDefault="00B22D33" w:rsidP="002E1869">
      <w:pPr>
        <w:rPr>
          <w:sz w:val="28"/>
          <w:szCs w:val="28"/>
        </w:rPr>
      </w:pPr>
    </w:p>
    <w:p w14:paraId="78BD8F3A" w14:textId="4A548EEE" w:rsidR="00B22D33" w:rsidRDefault="002E1869" w:rsidP="002E1869">
      <w:pPr>
        <w:rPr>
          <w:sz w:val="28"/>
          <w:szCs w:val="28"/>
        </w:rPr>
      </w:pPr>
      <w:r>
        <w:rPr>
          <w:sz w:val="28"/>
          <w:szCs w:val="28"/>
        </w:rPr>
        <w:t>Every effort is being made to ensure continuity and stability</w:t>
      </w:r>
      <w:r w:rsidR="00181A2C">
        <w:rPr>
          <w:sz w:val="28"/>
          <w:szCs w:val="28"/>
        </w:rPr>
        <w:t xml:space="preserve"> for our students</w:t>
      </w:r>
      <w:r>
        <w:rPr>
          <w:sz w:val="28"/>
          <w:szCs w:val="28"/>
        </w:rPr>
        <w:t>. When classrooms are closed due to a positive case, the immediate transition is</w:t>
      </w:r>
      <w:r w:rsidR="000C7399">
        <w:rPr>
          <w:sz w:val="28"/>
          <w:szCs w:val="28"/>
        </w:rPr>
        <w:t xml:space="preserve"> abrupt and disruptive</w:t>
      </w:r>
      <w:r>
        <w:rPr>
          <w:sz w:val="28"/>
          <w:szCs w:val="28"/>
        </w:rPr>
        <w:t xml:space="preserve">. Distance Learning is not ideal for our Montessori environments, but allowing our Guides, students, and parents time to properly prepare for the transition is </w:t>
      </w:r>
      <w:r w:rsidR="000C7399">
        <w:rPr>
          <w:sz w:val="28"/>
          <w:szCs w:val="28"/>
        </w:rPr>
        <w:t xml:space="preserve">a better </w:t>
      </w:r>
      <w:r>
        <w:rPr>
          <w:sz w:val="28"/>
          <w:szCs w:val="28"/>
        </w:rPr>
        <w:t>practice for the success of the student</w:t>
      </w:r>
      <w:r w:rsidR="00181A2C">
        <w:rPr>
          <w:sz w:val="28"/>
          <w:szCs w:val="28"/>
        </w:rPr>
        <w:t xml:space="preserve">s. </w:t>
      </w:r>
    </w:p>
    <w:p w14:paraId="65E17081" w14:textId="77777777" w:rsidR="00A8111F" w:rsidRDefault="00A8111F" w:rsidP="002E1869">
      <w:pPr>
        <w:rPr>
          <w:sz w:val="28"/>
          <w:szCs w:val="28"/>
        </w:rPr>
      </w:pPr>
    </w:p>
    <w:p w14:paraId="1F2D8A98" w14:textId="6EA0BFAB" w:rsidR="00B22D33" w:rsidRDefault="00B22D33" w:rsidP="002E1869">
      <w:pPr>
        <w:rPr>
          <w:sz w:val="28"/>
          <w:szCs w:val="28"/>
        </w:rPr>
      </w:pPr>
      <w:r>
        <w:rPr>
          <w:sz w:val="28"/>
          <w:szCs w:val="28"/>
        </w:rPr>
        <w:t>As the holidays approach, please continue to wear your masks, wash your hands, and practice social distancing. These efforts are our best chance to slow the spread of infection and allow us to return to in</w:t>
      </w:r>
      <w:r w:rsidR="0091389E">
        <w:rPr>
          <w:sz w:val="28"/>
          <w:szCs w:val="28"/>
        </w:rPr>
        <w:t>-</w:t>
      </w:r>
      <w:r>
        <w:rPr>
          <w:sz w:val="28"/>
          <w:szCs w:val="28"/>
        </w:rPr>
        <w:t xml:space="preserve">person instruction as </w:t>
      </w:r>
      <w:r w:rsidR="0091389E">
        <w:rPr>
          <w:sz w:val="28"/>
          <w:szCs w:val="28"/>
        </w:rPr>
        <w:t>soon</w:t>
      </w:r>
      <w:r>
        <w:rPr>
          <w:sz w:val="28"/>
          <w:szCs w:val="28"/>
        </w:rPr>
        <w:t xml:space="preserve"> as possible.</w:t>
      </w:r>
    </w:p>
    <w:p w14:paraId="193413F0" w14:textId="77777777" w:rsidR="00B22D33" w:rsidRDefault="00B22D33" w:rsidP="002E1869">
      <w:pPr>
        <w:rPr>
          <w:sz w:val="28"/>
          <w:szCs w:val="28"/>
        </w:rPr>
      </w:pPr>
    </w:p>
    <w:p w14:paraId="209BD63C" w14:textId="650C5315" w:rsidR="002E1869" w:rsidRDefault="0091389E" w:rsidP="002E1869">
      <w:pPr>
        <w:rPr>
          <w:sz w:val="28"/>
          <w:szCs w:val="28"/>
        </w:rPr>
      </w:pPr>
      <w:r>
        <w:rPr>
          <w:sz w:val="28"/>
          <w:szCs w:val="28"/>
        </w:rPr>
        <w:t>We are grateful to our staff and families who have been tireless advocates on behalf of the students despite the challenges everyone has faced. Continued detailed updates will be shared</w:t>
      </w:r>
      <w:r w:rsidR="00181A2C">
        <w:rPr>
          <w:sz w:val="28"/>
          <w:szCs w:val="28"/>
        </w:rPr>
        <w:t xml:space="preserve"> with the community as the situation evolves.</w:t>
      </w:r>
      <w:r w:rsidR="00B22D33">
        <w:rPr>
          <w:sz w:val="28"/>
          <w:szCs w:val="28"/>
        </w:rPr>
        <w:t xml:space="preserve"> </w:t>
      </w:r>
    </w:p>
    <w:p w14:paraId="33A3ED4C" w14:textId="32D340B8" w:rsidR="00181A2C" w:rsidRDefault="00181A2C" w:rsidP="002E1869">
      <w:pPr>
        <w:rPr>
          <w:sz w:val="28"/>
          <w:szCs w:val="28"/>
        </w:rPr>
      </w:pPr>
    </w:p>
    <w:p w14:paraId="6D66B0F4" w14:textId="095E7A84" w:rsidR="00181A2C" w:rsidRDefault="006C6CD8" w:rsidP="002E1869">
      <w:pPr>
        <w:rPr>
          <w:sz w:val="28"/>
          <w:szCs w:val="28"/>
        </w:rPr>
      </w:pPr>
      <w:r>
        <w:rPr>
          <w:sz w:val="28"/>
          <w:szCs w:val="28"/>
        </w:rPr>
        <w:t>In Health and Peace,</w:t>
      </w:r>
    </w:p>
    <w:p w14:paraId="088EC26B" w14:textId="67C539A4" w:rsidR="006C6CD8" w:rsidRDefault="006C6CD8" w:rsidP="002E1869">
      <w:pPr>
        <w:rPr>
          <w:sz w:val="28"/>
          <w:szCs w:val="28"/>
        </w:rPr>
      </w:pPr>
    </w:p>
    <w:p w14:paraId="14414051" w14:textId="0A3A8C3C" w:rsidR="006C6CD8" w:rsidRDefault="006C6CD8" w:rsidP="002E1869">
      <w:pPr>
        <w:rPr>
          <w:sz w:val="28"/>
          <w:szCs w:val="28"/>
        </w:rPr>
      </w:pPr>
      <w:r>
        <w:rPr>
          <w:sz w:val="28"/>
          <w:szCs w:val="28"/>
        </w:rPr>
        <w:t xml:space="preserve">Laura </w:t>
      </w:r>
      <w:proofErr w:type="spellStart"/>
      <w:r>
        <w:rPr>
          <w:sz w:val="28"/>
          <w:szCs w:val="28"/>
        </w:rPr>
        <w:t>Hertzler</w:t>
      </w:r>
      <w:proofErr w:type="spellEnd"/>
      <w:r>
        <w:rPr>
          <w:sz w:val="28"/>
          <w:szCs w:val="28"/>
        </w:rPr>
        <w:t xml:space="preserve">       Stefan Linder</w:t>
      </w:r>
      <w:r>
        <w:rPr>
          <w:sz w:val="28"/>
          <w:szCs w:val="28"/>
        </w:rPr>
        <w:br/>
        <w:t>Head of School     Associate Head of School</w:t>
      </w:r>
    </w:p>
    <w:p w14:paraId="415271D6" w14:textId="12E608D8" w:rsidR="006C6CD8" w:rsidRDefault="006C6CD8" w:rsidP="002E1869">
      <w:pPr>
        <w:rPr>
          <w:sz w:val="28"/>
          <w:szCs w:val="28"/>
        </w:rPr>
      </w:pPr>
    </w:p>
    <w:p w14:paraId="1DEE01BD" w14:textId="77777777" w:rsidR="006C6CD8" w:rsidRPr="002E1869" w:rsidRDefault="006C6CD8" w:rsidP="002E1869">
      <w:pPr>
        <w:rPr>
          <w:sz w:val="28"/>
          <w:szCs w:val="28"/>
        </w:rPr>
      </w:pPr>
    </w:p>
    <w:sectPr w:rsidR="006C6CD8" w:rsidRPr="002E1869" w:rsidSect="00B12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10F3"/>
    <w:multiLevelType w:val="hybridMultilevel"/>
    <w:tmpl w:val="CADE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1227C"/>
    <w:multiLevelType w:val="hybridMultilevel"/>
    <w:tmpl w:val="1D84B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F6CB7"/>
    <w:multiLevelType w:val="hybridMultilevel"/>
    <w:tmpl w:val="C96E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F0C"/>
    <w:rsid w:val="000C7399"/>
    <w:rsid w:val="00181A2C"/>
    <w:rsid w:val="001B2509"/>
    <w:rsid w:val="001D5972"/>
    <w:rsid w:val="002E1869"/>
    <w:rsid w:val="003D73AD"/>
    <w:rsid w:val="004503EA"/>
    <w:rsid w:val="006C6CD8"/>
    <w:rsid w:val="0080256F"/>
    <w:rsid w:val="00825B9E"/>
    <w:rsid w:val="00884FFE"/>
    <w:rsid w:val="0091389E"/>
    <w:rsid w:val="00967ECE"/>
    <w:rsid w:val="00A01C38"/>
    <w:rsid w:val="00A8111F"/>
    <w:rsid w:val="00A909C0"/>
    <w:rsid w:val="00B123DE"/>
    <w:rsid w:val="00B22D33"/>
    <w:rsid w:val="00C97AAE"/>
    <w:rsid w:val="00D10CF2"/>
    <w:rsid w:val="00DF0F0C"/>
    <w:rsid w:val="00DF40EF"/>
    <w:rsid w:val="00F342B7"/>
    <w:rsid w:val="00FA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86B95A"/>
  <w15:chartTrackingRefBased/>
  <w15:docId w15:val="{CA1F096D-5650-DF42-9F42-E960E09E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F0C"/>
    <w:pPr>
      <w:ind w:left="720"/>
      <w:contextualSpacing/>
    </w:pPr>
  </w:style>
  <w:style w:type="paragraph" w:styleId="NormalWeb">
    <w:name w:val="Normal (Web)"/>
    <w:basedOn w:val="Normal"/>
    <w:uiPriority w:val="99"/>
    <w:semiHidden/>
    <w:unhideWhenUsed/>
    <w:rsid w:val="00FA721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67ECE"/>
    <w:rPr>
      <w:color w:val="0563C1" w:themeColor="hyperlink"/>
      <w:u w:val="single"/>
    </w:rPr>
  </w:style>
  <w:style w:type="character" w:styleId="UnresolvedMention">
    <w:name w:val="Unresolved Mention"/>
    <w:basedOn w:val="DefaultParagraphFont"/>
    <w:uiPriority w:val="99"/>
    <w:semiHidden/>
    <w:unhideWhenUsed/>
    <w:rsid w:val="00967ECE"/>
    <w:rPr>
      <w:color w:val="605E5C"/>
      <w:shd w:val="clear" w:color="auto" w:fill="E1DFDD"/>
    </w:rPr>
  </w:style>
  <w:style w:type="table" w:styleId="TableGrid">
    <w:name w:val="Table Grid"/>
    <w:basedOn w:val="TableNormal"/>
    <w:uiPriority w:val="39"/>
    <w:rsid w:val="00825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zdhs.gov/documents/preparedness/epidemiology-disease-control/infectious-disease-epidemiology/novel-coronavirus/covid-19-safely-return-to-in-person-instruction.pdf" TargetMode="External"/><Relationship Id="rId5" Type="http://schemas.openxmlformats.org/officeDocument/2006/relationships/hyperlink" Target="https://www.azdhs.gov/preparedness/epidemiology-disease-control/infectious-disease-epidemiology/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2020-11-20T20:34:00Z</cp:lastPrinted>
  <dcterms:created xsi:type="dcterms:W3CDTF">2020-11-20T21:23:00Z</dcterms:created>
  <dcterms:modified xsi:type="dcterms:W3CDTF">2020-11-20T21:23:00Z</dcterms:modified>
</cp:coreProperties>
</file>