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06FF6AB6"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096421">
        <w:rPr>
          <w:spacing w:val="-14"/>
          <w:w w:val="105"/>
        </w:rPr>
        <w:t>15</w:t>
      </w:r>
      <w:proofErr w:type="gramStart"/>
      <w:r w:rsidR="00096421" w:rsidRPr="00096421">
        <w:rPr>
          <w:spacing w:val="-14"/>
          <w:w w:val="105"/>
          <w:vertAlign w:val="superscript"/>
        </w:rPr>
        <w:t>th</w:t>
      </w:r>
      <w:r w:rsidR="00096421">
        <w:rPr>
          <w:spacing w:val="-14"/>
          <w:w w:val="105"/>
        </w:rPr>
        <w:t xml:space="preserve">  </w:t>
      </w:r>
      <w:r w:rsidR="008C3F90">
        <w:rPr>
          <w:spacing w:val="-14"/>
          <w:w w:val="105"/>
        </w:rPr>
        <w:t>Day</w:t>
      </w:r>
      <w:proofErr w:type="gramEnd"/>
      <w:r w:rsidR="008C3F90">
        <w:rPr>
          <w:spacing w:val="-14"/>
          <w:w w:val="105"/>
        </w:rPr>
        <w:t xml:space="preserve"> of </w:t>
      </w:r>
      <w:r w:rsidR="00096421">
        <w:rPr>
          <w:spacing w:val="-14"/>
          <w:w w:val="105"/>
        </w:rPr>
        <w:t>August</w:t>
      </w:r>
      <w:r w:rsidR="00DB5DB6">
        <w:rPr>
          <w:spacing w:val="-14"/>
          <w:w w:val="105"/>
        </w:rPr>
        <w:t xml:space="preserve"> 202</w:t>
      </w:r>
      <w:r w:rsidR="00096421">
        <w:rPr>
          <w:spacing w:val="-14"/>
          <w:w w:val="105"/>
        </w:rPr>
        <w:t>2</w:t>
      </w:r>
      <w:r>
        <w:rPr>
          <w:w w:val="105"/>
        </w:rPr>
        <w:tab/>
        <w:t xml:space="preserve">By: </w:t>
      </w:r>
      <w:r w:rsidR="00096421">
        <w:rPr>
          <w:w w:val="105"/>
        </w:rPr>
        <w:t xml:space="preserve">Gina </w:t>
      </w:r>
      <w:proofErr w:type="spellStart"/>
      <w:r w:rsidR="00096421">
        <w:rPr>
          <w:w w:val="105"/>
        </w:rPr>
        <w:t>Giorsetto</w:t>
      </w:r>
      <w:proofErr w:type="spellEnd"/>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7BA0FB4F" w:rsidR="001E1A30" w:rsidRPr="00267F1C" w:rsidRDefault="00737B10" w:rsidP="00120399">
      <w:pPr>
        <w:pStyle w:val="Heading1"/>
        <w:ind w:left="0"/>
        <w:jc w:val="center"/>
        <w:rPr>
          <w:sz w:val="22"/>
          <w:szCs w:val="22"/>
        </w:rPr>
      </w:pPr>
      <w:r>
        <w:rPr>
          <w:w w:val="105"/>
          <w:sz w:val="22"/>
          <w:szCs w:val="22"/>
        </w:rPr>
        <w:t>Governance Committee</w:t>
      </w:r>
      <w:r w:rsidR="00177F48" w:rsidRPr="00267F1C">
        <w:rPr>
          <w:w w:val="105"/>
          <w:sz w:val="22"/>
          <w:szCs w:val="22"/>
        </w:rPr>
        <w:t xml:space="preserve"> Meeting</w:t>
      </w:r>
      <w:r w:rsidR="00120399" w:rsidRPr="00267F1C">
        <w:rPr>
          <w:w w:val="105"/>
          <w:sz w:val="22"/>
          <w:szCs w:val="22"/>
        </w:rPr>
        <w:t xml:space="preserve"> </w:t>
      </w:r>
      <w:r>
        <w:rPr>
          <w:w w:val="105"/>
          <w:sz w:val="22"/>
          <w:szCs w:val="22"/>
        </w:rPr>
        <w:t>Agenda</w:t>
      </w:r>
    </w:p>
    <w:p w14:paraId="7C6170E1" w14:textId="041A6E65" w:rsidR="001E1A30" w:rsidRPr="00267F1C" w:rsidRDefault="00096421" w:rsidP="00120399">
      <w:pPr>
        <w:spacing w:before="24"/>
        <w:jc w:val="center"/>
        <w:rPr>
          <w:b/>
        </w:rPr>
      </w:pPr>
      <w:r>
        <w:rPr>
          <w:b/>
          <w:w w:val="105"/>
        </w:rPr>
        <w:t>August 16, 2022</w:t>
      </w:r>
      <w:r w:rsidR="002068CC" w:rsidRPr="00267F1C">
        <w:rPr>
          <w:b/>
          <w:w w:val="105"/>
        </w:rPr>
        <w:t xml:space="preserve"> at 4</w:t>
      </w:r>
      <w:r w:rsidR="008C3F90">
        <w:rPr>
          <w:b/>
          <w:w w:val="105"/>
        </w:rPr>
        <w:t>:45</w:t>
      </w:r>
      <w:r w:rsidR="00B52783" w:rsidRPr="00267F1C">
        <w:rPr>
          <w:b/>
          <w:w w:val="105"/>
        </w:rPr>
        <w:t xml:space="preserve">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4C1F597" w:rsidR="001E1A30" w:rsidRDefault="00096421">
            <w:pPr>
              <w:pStyle w:val="TableParagraph"/>
              <w:rPr>
                <w:sz w:val="18"/>
              </w:rPr>
            </w:pPr>
            <w:r>
              <w:rPr>
                <w:w w:val="110"/>
                <w:sz w:val="18"/>
              </w:rPr>
              <w:t>Laura Hertzler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59AC4FA5" w:rsidR="001E1A30" w:rsidRDefault="00096421">
            <w:pPr>
              <w:pStyle w:val="TableParagraph"/>
              <w:rPr>
                <w:sz w:val="18"/>
              </w:rPr>
            </w:pPr>
            <w:r>
              <w:rPr>
                <w:w w:val="110"/>
                <w:sz w:val="18"/>
              </w:rPr>
              <w:t xml:space="preserve">Shahnaz </w:t>
            </w:r>
            <w:proofErr w:type="spellStart"/>
            <w:r>
              <w:rPr>
                <w:w w:val="110"/>
                <w:sz w:val="18"/>
              </w:rPr>
              <w:t>Currim</w:t>
            </w:r>
            <w:proofErr w:type="spellEnd"/>
          </w:p>
        </w:tc>
        <w:tc>
          <w:tcPr>
            <w:tcW w:w="3326" w:type="dxa"/>
          </w:tcPr>
          <w:p w14:paraId="7F683879" w14:textId="6236D04A" w:rsidR="001E1A30" w:rsidRDefault="002178A9">
            <w:pPr>
              <w:pStyle w:val="TableParagraph"/>
              <w:ind w:left="78"/>
              <w:rPr>
                <w:sz w:val="18"/>
              </w:rPr>
            </w:pPr>
            <w:r>
              <w:rPr>
                <w:w w:val="110"/>
                <w:sz w:val="18"/>
              </w:rPr>
              <w:t>Draft Minutes</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4932FB6B" w:rsidR="001E1A30" w:rsidRDefault="00177F48" w:rsidP="008C3F90">
            <w:pPr>
              <w:pStyle w:val="TableParagraph"/>
              <w:spacing w:before="52" w:line="268" w:lineRule="auto"/>
              <w:ind w:left="396" w:hanging="338"/>
              <w:rPr>
                <w:b/>
                <w:sz w:val="18"/>
              </w:rPr>
            </w:pPr>
            <w:r>
              <w:rPr>
                <w:w w:val="110"/>
                <w:sz w:val="18"/>
              </w:rPr>
              <w:t xml:space="preserve">4. </w:t>
            </w:r>
            <w:r>
              <w:rPr>
                <w:b/>
                <w:w w:val="110"/>
                <w:sz w:val="18"/>
              </w:rPr>
              <w:t xml:space="preserve">Review </w:t>
            </w:r>
            <w:r w:rsidR="008C3F90">
              <w:rPr>
                <w:b/>
                <w:w w:val="110"/>
                <w:sz w:val="18"/>
              </w:rPr>
              <w:t>Action Items</w:t>
            </w:r>
          </w:p>
        </w:tc>
        <w:tc>
          <w:tcPr>
            <w:tcW w:w="1622" w:type="dxa"/>
          </w:tcPr>
          <w:p w14:paraId="5187211F" w14:textId="77777777" w:rsidR="008C3F90" w:rsidRDefault="008C3F90" w:rsidP="008C3F90">
            <w:pPr>
              <w:pStyle w:val="TableParagraph"/>
              <w:rPr>
                <w:w w:val="110"/>
                <w:sz w:val="18"/>
              </w:rPr>
            </w:pPr>
            <w:r>
              <w:rPr>
                <w:w w:val="110"/>
                <w:sz w:val="18"/>
              </w:rPr>
              <w:t>Laura Hertzler</w:t>
            </w:r>
          </w:p>
          <w:p w14:paraId="4481A38F" w14:textId="735C9DEB" w:rsidR="002178A9" w:rsidRDefault="002178A9" w:rsidP="008C3F90">
            <w:pPr>
              <w:pStyle w:val="TableParagraph"/>
              <w:rPr>
                <w:sz w:val="18"/>
              </w:rPr>
            </w:pPr>
          </w:p>
        </w:tc>
        <w:tc>
          <w:tcPr>
            <w:tcW w:w="3326" w:type="dxa"/>
          </w:tcPr>
          <w:p w14:paraId="3C6C76B2" w14:textId="77777777" w:rsidR="00120399" w:rsidRDefault="00120399">
            <w:pPr>
              <w:pStyle w:val="TableParagraph"/>
              <w:spacing w:before="0" w:line="120" w:lineRule="exact"/>
              <w:ind w:left="96"/>
              <w:rPr>
                <w:w w:val="110"/>
                <w:sz w:val="18"/>
              </w:rPr>
            </w:pPr>
          </w:p>
          <w:p w14:paraId="5BA5AFA5" w14:textId="4D38BD29" w:rsidR="001E1A30" w:rsidRDefault="001E1A30" w:rsidP="002068CC">
            <w:pPr>
              <w:pStyle w:val="TableParagraph"/>
              <w:rPr>
                <w:sz w:val="18"/>
              </w:rPr>
            </w:pPr>
          </w:p>
        </w:tc>
        <w:tc>
          <w:tcPr>
            <w:tcW w:w="1440" w:type="dxa"/>
          </w:tcPr>
          <w:p w14:paraId="7E503BC2" w14:textId="4B9F000B" w:rsidR="001E1A30" w:rsidRDefault="002178A9">
            <w:pPr>
              <w:pStyle w:val="TableParagraph"/>
              <w:ind w:left="37"/>
              <w:rPr>
                <w:sz w:val="18"/>
              </w:rPr>
            </w:pPr>
            <w:r>
              <w:rPr>
                <w:w w:val="110"/>
                <w:sz w:val="18"/>
              </w:rPr>
              <w:t>10</w:t>
            </w:r>
            <w:r w:rsidR="00177F48">
              <w:rPr>
                <w:w w:val="110"/>
                <w:sz w:val="18"/>
              </w:rPr>
              <w:t xml:space="preserve"> minutes</w:t>
            </w:r>
          </w:p>
        </w:tc>
      </w:tr>
      <w:tr w:rsidR="00D30625" w14:paraId="6BBBBF7C" w14:textId="77777777" w:rsidTr="00120399">
        <w:trPr>
          <w:trHeight w:val="698"/>
        </w:trPr>
        <w:tc>
          <w:tcPr>
            <w:tcW w:w="4862" w:type="dxa"/>
          </w:tcPr>
          <w:p w14:paraId="5F4FDDD5" w14:textId="6F59DC00" w:rsidR="00D30625" w:rsidRDefault="00D30625" w:rsidP="008C3F90">
            <w:pPr>
              <w:adjustRightInd w:val="0"/>
              <w:spacing w:after="240" w:line="300" w:lineRule="atLeast"/>
              <w:rPr>
                <w:w w:val="110"/>
                <w:sz w:val="18"/>
              </w:rPr>
            </w:pPr>
            <w:r>
              <w:rPr>
                <w:w w:val="110"/>
                <w:sz w:val="18"/>
              </w:rPr>
              <w:t>5</w:t>
            </w:r>
            <w:r w:rsidRPr="00D30625">
              <w:rPr>
                <w:b/>
                <w:w w:val="110"/>
                <w:sz w:val="18"/>
              </w:rPr>
              <w:t xml:space="preserve">. </w:t>
            </w:r>
            <w:r w:rsidR="008C3F90" w:rsidRPr="008C3F90">
              <w:rPr>
                <w:b/>
                <w:w w:val="110"/>
                <w:sz w:val="18"/>
              </w:rPr>
              <w:t xml:space="preserve">Discuss new BOD recruitment status - </w:t>
            </w:r>
            <w:r w:rsidR="008C3F90" w:rsidRPr="008C3F90">
              <w:rPr>
                <w:w w:val="110"/>
                <w:sz w:val="18"/>
              </w:rPr>
              <w:t>Next steps for new prospective member</w:t>
            </w:r>
            <w:r w:rsidR="008C3F90" w:rsidRPr="008C3F90">
              <w:rPr>
                <w:rFonts w:eastAsiaTheme="minorHAnsi"/>
                <w:color w:val="000000"/>
                <w:sz w:val="26"/>
                <w:szCs w:val="26"/>
              </w:rPr>
              <w:t xml:space="preserve"> </w:t>
            </w:r>
          </w:p>
        </w:tc>
        <w:tc>
          <w:tcPr>
            <w:tcW w:w="1622" w:type="dxa"/>
          </w:tcPr>
          <w:p w14:paraId="43E40113" w14:textId="77777777" w:rsidR="00D30625" w:rsidRDefault="002178A9" w:rsidP="002178A9">
            <w:pPr>
              <w:pStyle w:val="TableParagraph"/>
              <w:rPr>
                <w:w w:val="110"/>
                <w:sz w:val="18"/>
              </w:rPr>
            </w:pPr>
            <w:r>
              <w:rPr>
                <w:w w:val="110"/>
                <w:sz w:val="18"/>
              </w:rPr>
              <w:t>Laura Hertzler</w:t>
            </w:r>
          </w:p>
          <w:p w14:paraId="15FE18DC" w14:textId="43232B5E" w:rsidR="008C3F90" w:rsidRDefault="008C3F90" w:rsidP="002178A9">
            <w:pPr>
              <w:pStyle w:val="TableParagraph"/>
              <w:rPr>
                <w:w w:val="110"/>
                <w:sz w:val="18"/>
              </w:rPr>
            </w:pPr>
          </w:p>
        </w:tc>
        <w:tc>
          <w:tcPr>
            <w:tcW w:w="3326" w:type="dxa"/>
          </w:tcPr>
          <w:p w14:paraId="500C79A7" w14:textId="77777777" w:rsidR="00D30625" w:rsidRDefault="00D30625">
            <w:pPr>
              <w:pStyle w:val="TableParagraph"/>
              <w:spacing w:before="0" w:line="120" w:lineRule="exact"/>
              <w:ind w:left="96"/>
              <w:rPr>
                <w:w w:val="110"/>
                <w:sz w:val="18"/>
              </w:rPr>
            </w:pPr>
          </w:p>
        </w:tc>
        <w:tc>
          <w:tcPr>
            <w:tcW w:w="1440" w:type="dxa"/>
          </w:tcPr>
          <w:p w14:paraId="09A3CB52" w14:textId="2F79CE01" w:rsidR="00D30625" w:rsidRDefault="002178A9">
            <w:pPr>
              <w:pStyle w:val="TableParagraph"/>
              <w:ind w:left="37"/>
              <w:rPr>
                <w:w w:val="110"/>
                <w:sz w:val="18"/>
              </w:rPr>
            </w:pPr>
            <w:r>
              <w:rPr>
                <w:w w:val="110"/>
                <w:sz w:val="18"/>
              </w:rPr>
              <w:t>10</w:t>
            </w:r>
            <w:r w:rsidR="00D30625">
              <w:rPr>
                <w:w w:val="110"/>
                <w:sz w:val="18"/>
              </w:rPr>
              <w:t xml:space="preserve"> minutes</w:t>
            </w:r>
          </w:p>
        </w:tc>
      </w:tr>
      <w:tr w:rsidR="003805F4" w14:paraId="2811A910" w14:textId="77777777">
        <w:trPr>
          <w:trHeight w:val="373"/>
        </w:trPr>
        <w:tc>
          <w:tcPr>
            <w:tcW w:w="4862" w:type="dxa"/>
          </w:tcPr>
          <w:p w14:paraId="1A7817B6" w14:textId="463D3343" w:rsidR="003805F4" w:rsidRDefault="008C3F90" w:rsidP="003805F4">
            <w:pPr>
              <w:pStyle w:val="TableParagraph"/>
              <w:spacing w:before="70"/>
              <w:ind w:left="40"/>
              <w:rPr>
                <w:b/>
                <w:sz w:val="18"/>
              </w:rPr>
            </w:pPr>
            <w:r>
              <w:rPr>
                <w:w w:val="110"/>
                <w:sz w:val="18"/>
              </w:rPr>
              <w:t>6</w:t>
            </w:r>
            <w:r w:rsidR="003805F4">
              <w:rPr>
                <w:w w:val="110"/>
                <w:sz w:val="18"/>
              </w:rPr>
              <w:t xml:space="preserve">. </w:t>
            </w:r>
            <w:r w:rsidR="003805F4">
              <w:rPr>
                <w:b/>
                <w:w w:val="110"/>
                <w:sz w:val="18"/>
              </w:rPr>
              <w:t>Adjourn</w:t>
            </w:r>
          </w:p>
        </w:tc>
        <w:tc>
          <w:tcPr>
            <w:tcW w:w="1622" w:type="dxa"/>
          </w:tcPr>
          <w:p w14:paraId="0C3256FE" w14:textId="1F9006AB" w:rsidR="003805F4" w:rsidRDefault="00096421">
            <w:pPr>
              <w:pStyle w:val="TableParagraph"/>
              <w:rPr>
                <w:sz w:val="18"/>
              </w:rPr>
            </w:pPr>
            <w:r>
              <w:rPr>
                <w:sz w:val="18"/>
              </w:rPr>
              <w:t>Laura Hertzler</w:t>
            </w:r>
          </w:p>
        </w:tc>
        <w:tc>
          <w:tcPr>
            <w:tcW w:w="3326" w:type="dxa"/>
          </w:tcPr>
          <w:p w14:paraId="024018C2" w14:textId="77777777" w:rsidR="003805F4" w:rsidRDefault="003805F4">
            <w:pPr>
              <w:pStyle w:val="TableParagraph"/>
              <w:spacing w:before="0"/>
              <w:ind w:left="0"/>
              <w:rPr>
                <w:rFonts w:ascii="Times New Roman"/>
                <w:sz w:val="16"/>
              </w:rPr>
            </w:pPr>
          </w:p>
        </w:tc>
        <w:tc>
          <w:tcPr>
            <w:tcW w:w="1440" w:type="dxa"/>
          </w:tcPr>
          <w:p w14:paraId="70026CB7" w14:textId="77777777" w:rsidR="003805F4" w:rsidRDefault="003805F4">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2798B"/>
    <w:rsid w:val="00096421"/>
    <w:rsid w:val="000B1FC7"/>
    <w:rsid w:val="00120399"/>
    <w:rsid w:val="00177F48"/>
    <w:rsid w:val="001E1A30"/>
    <w:rsid w:val="002068CC"/>
    <w:rsid w:val="002178A9"/>
    <w:rsid w:val="00267F1C"/>
    <w:rsid w:val="003805F4"/>
    <w:rsid w:val="004B30E0"/>
    <w:rsid w:val="00711363"/>
    <w:rsid w:val="00737B10"/>
    <w:rsid w:val="00743FAC"/>
    <w:rsid w:val="00775848"/>
    <w:rsid w:val="0080282C"/>
    <w:rsid w:val="008C3F90"/>
    <w:rsid w:val="00B165F9"/>
    <w:rsid w:val="00B52783"/>
    <w:rsid w:val="00B70FDF"/>
    <w:rsid w:val="00D30625"/>
    <w:rsid w:val="00DB5DB6"/>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0F32"/>
  <w15:docId w15:val="{08F9A69B-3A77-2F4E-B7F9-4668C45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2020-08-03T21:05:00Z</cp:lastPrinted>
  <dcterms:created xsi:type="dcterms:W3CDTF">2022-08-15T22:32:00Z</dcterms:created>
  <dcterms:modified xsi:type="dcterms:W3CDTF">2022-08-15T22:32:00Z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